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B51" w:rsidRPr="007F0B51" w:rsidRDefault="007F0B51" w:rsidP="007F0B51">
      <w:pPr>
        <w:rPr>
          <w:b/>
          <w:sz w:val="32"/>
          <w:szCs w:val="32"/>
        </w:rPr>
      </w:pPr>
      <w:r w:rsidRPr="007F0B51">
        <w:rPr>
          <w:b/>
          <w:sz w:val="32"/>
          <w:szCs w:val="32"/>
        </w:rPr>
        <w:t>Application Guidelines</w:t>
      </w:r>
    </w:p>
    <w:p w:rsidR="007F0B51" w:rsidRPr="007F0B51" w:rsidRDefault="00025D22" w:rsidP="007F0B51">
      <w:pPr>
        <w:rPr>
          <w:b/>
          <w:sz w:val="32"/>
          <w:szCs w:val="32"/>
        </w:rPr>
      </w:pPr>
      <w:r>
        <w:rPr>
          <w:b/>
          <w:sz w:val="32"/>
          <w:szCs w:val="32"/>
        </w:rPr>
        <w:t>EU Award for Investigative J</w:t>
      </w:r>
      <w:r w:rsidR="007F0B51" w:rsidRPr="007F0B51">
        <w:rPr>
          <w:b/>
          <w:sz w:val="32"/>
          <w:szCs w:val="32"/>
        </w:rPr>
        <w:t>ournalism in 2019</w:t>
      </w:r>
    </w:p>
    <w:p w:rsidR="007F0B51" w:rsidRDefault="007F0B51" w:rsidP="007F0B51"/>
    <w:p w:rsidR="007F0B51" w:rsidRDefault="007F0B51" w:rsidP="007F0B51"/>
    <w:p w:rsidR="007F0B51" w:rsidRDefault="007F0B51" w:rsidP="007F0B51">
      <w:r>
        <w:t xml:space="preserve">National Coordinator: </w:t>
      </w:r>
      <w:r w:rsidR="009D01D4">
        <w:t>BIRN Hub, Sarajevo, Bosnia and Herzegovina</w:t>
      </w:r>
    </w:p>
    <w:p w:rsidR="007F0B51" w:rsidRPr="008F6D80" w:rsidRDefault="007F0B51" w:rsidP="007F0B51">
      <w:r>
        <w:t>P</w:t>
      </w:r>
      <w:r w:rsidRPr="008F6D80">
        <w:t>ublication date:</w:t>
      </w:r>
      <w:r>
        <w:t xml:space="preserve">  </w:t>
      </w:r>
      <w:r w:rsidR="005538A3" w:rsidRPr="009D01D4">
        <w:t>17</w:t>
      </w:r>
      <w:r w:rsidR="00384C9E" w:rsidRPr="009D01D4">
        <w:t>/06</w:t>
      </w:r>
      <w:r w:rsidRPr="009D01D4">
        <w:t>/2019</w:t>
      </w:r>
    </w:p>
    <w:p w:rsidR="007F0B51" w:rsidRPr="009D01D4" w:rsidRDefault="007F0B51" w:rsidP="007F0B51">
      <w:r w:rsidRPr="008F6D80">
        <w:t>Deadline for</w:t>
      </w:r>
      <w:r>
        <w:t xml:space="preserve"> application: </w:t>
      </w:r>
      <w:r w:rsidR="005538A3" w:rsidRPr="009D01D4">
        <w:t>17</w:t>
      </w:r>
      <w:r w:rsidR="00384C9E" w:rsidRPr="009D01D4">
        <w:t>/07</w:t>
      </w:r>
      <w:r w:rsidRPr="009D01D4">
        <w:t>/2019, 12:00 PM (CET)</w:t>
      </w:r>
    </w:p>
    <w:p w:rsidR="007F0B51" w:rsidRDefault="007F0B51" w:rsidP="007F0B51">
      <w:pPr>
        <w:rPr>
          <w:b/>
        </w:rPr>
      </w:pPr>
    </w:p>
    <w:p w:rsidR="007F0B51" w:rsidRDefault="007F0B51" w:rsidP="007F0B51">
      <w:pPr>
        <w:rPr>
          <w:b/>
        </w:rPr>
      </w:pPr>
    </w:p>
    <w:p w:rsidR="007F0B51" w:rsidRDefault="007F0B51" w:rsidP="007F0B51">
      <w:pPr>
        <w:rPr>
          <w:b/>
        </w:rPr>
      </w:pPr>
    </w:p>
    <w:p w:rsidR="007F0B51" w:rsidRDefault="007F0B51" w:rsidP="007F0B51">
      <w:pPr>
        <w:rPr>
          <w:b/>
        </w:rPr>
      </w:pPr>
    </w:p>
    <w:p w:rsidR="007F0B51" w:rsidRDefault="007F0B51" w:rsidP="007F0B51">
      <w:pPr>
        <w:rPr>
          <w:b/>
        </w:rPr>
      </w:pPr>
    </w:p>
    <w:p w:rsidR="007F0B51" w:rsidRDefault="007F0B51" w:rsidP="007F0B51">
      <w:pPr>
        <w:rPr>
          <w:b/>
        </w:rPr>
      </w:pPr>
    </w:p>
    <w:p w:rsidR="007F0B51" w:rsidRDefault="007F0B51" w:rsidP="007F0B51">
      <w:pPr>
        <w:rPr>
          <w:b/>
        </w:rPr>
      </w:pPr>
    </w:p>
    <w:p w:rsidR="007F0B51" w:rsidRDefault="007F0B51" w:rsidP="007F0B51">
      <w:pPr>
        <w:rPr>
          <w:b/>
        </w:rPr>
      </w:pPr>
    </w:p>
    <w:p w:rsidR="007F0B51" w:rsidRDefault="007F0B51" w:rsidP="007F0B51">
      <w:pPr>
        <w:rPr>
          <w:b/>
        </w:rPr>
      </w:pPr>
    </w:p>
    <w:p w:rsidR="007F0B51" w:rsidRDefault="007F0B51" w:rsidP="007F0B51">
      <w:pPr>
        <w:rPr>
          <w:b/>
        </w:rPr>
      </w:pPr>
    </w:p>
    <w:p w:rsidR="007F0B51" w:rsidRDefault="007F0B51" w:rsidP="007F0B51">
      <w:pPr>
        <w:rPr>
          <w:b/>
        </w:rPr>
      </w:pPr>
    </w:p>
    <w:p w:rsidR="007F0B51" w:rsidRDefault="007F0B51" w:rsidP="007F0B51">
      <w:pPr>
        <w:rPr>
          <w:b/>
        </w:rPr>
      </w:pPr>
    </w:p>
    <w:p w:rsidR="007F0B51" w:rsidRDefault="007F0B51" w:rsidP="007F0B51">
      <w:pPr>
        <w:rPr>
          <w:b/>
        </w:rPr>
      </w:pPr>
    </w:p>
    <w:p w:rsidR="007F0B51" w:rsidRDefault="007F0B51" w:rsidP="007F0B51">
      <w:pPr>
        <w:rPr>
          <w:b/>
        </w:rPr>
      </w:pPr>
    </w:p>
    <w:p w:rsidR="007F0B51" w:rsidRDefault="007F0B51" w:rsidP="007F0B51">
      <w:pPr>
        <w:rPr>
          <w:b/>
        </w:rPr>
      </w:pPr>
    </w:p>
    <w:p w:rsidR="007F0B51" w:rsidRDefault="007F0B51" w:rsidP="007F0B51">
      <w:pPr>
        <w:rPr>
          <w:b/>
        </w:rPr>
      </w:pPr>
    </w:p>
    <w:p w:rsidR="007F0B51" w:rsidRDefault="007F0B51" w:rsidP="007F0B51">
      <w:pPr>
        <w:rPr>
          <w:b/>
        </w:rPr>
      </w:pPr>
    </w:p>
    <w:p w:rsidR="007F0B51" w:rsidRDefault="007F0B51" w:rsidP="007F0B51">
      <w:pPr>
        <w:rPr>
          <w:b/>
        </w:rPr>
      </w:pPr>
    </w:p>
    <w:p w:rsidR="007F0B51" w:rsidRDefault="007F0B51" w:rsidP="007F0B51">
      <w:pPr>
        <w:rPr>
          <w:b/>
        </w:rPr>
      </w:pPr>
    </w:p>
    <w:p w:rsidR="007F0B51" w:rsidRPr="00E6638B" w:rsidRDefault="007F0B51" w:rsidP="007F0B51">
      <w:pPr>
        <w:rPr>
          <w:b/>
        </w:rPr>
      </w:pPr>
      <w:r w:rsidRPr="00E6638B">
        <w:rPr>
          <w:b/>
        </w:rPr>
        <w:t>Content</w:t>
      </w:r>
    </w:p>
    <w:p w:rsidR="007F0B51" w:rsidRPr="00E6638B" w:rsidRDefault="00576BA6" w:rsidP="007F0B51">
      <w:pPr>
        <w:pStyle w:val="ListParagraph"/>
        <w:numPr>
          <w:ilvl w:val="0"/>
          <w:numId w:val="4"/>
        </w:numPr>
      </w:pPr>
      <w:r>
        <w:t>Background</w:t>
      </w:r>
    </w:p>
    <w:p w:rsidR="007F0B51" w:rsidRPr="00E6638B" w:rsidRDefault="007F0B51" w:rsidP="007F0B51">
      <w:pPr>
        <w:pStyle w:val="ListParagraph"/>
        <w:numPr>
          <w:ilvl w:val="0"/>
          <w:numId w:val="4"/>
        </w:numPr>
      </w:pPr>
      <w:r w:rsidRPr="00E6638B">
        <w:t>Purpose</w:t>
      </w:r>
    </w:p>
    <w:p w:rsidR="007F0B51" w:rsidRPr="00E6638B" w:rsidRDefault="007F0B51" w:rsidP="007F0B51">
      <w:pPr>
        <w:pStyle w:val="ListParagraph"/>
        <w:numPr>
          <w:ilvl w:val="0"/>
          <w:numId w:val="4"/>
        </w:numPr>
      </w:pPr>
      <w:r w:rsidRPr="00E6638B">
        <w:t>Award fund</w:t>
      </w:r>
    </w:p>
    <w:p w:rsidR="007F0B51" w:rsidRPr="00E6638B" w:rsidRDefault="007F0B51" w:rsidP="007F0B51">
      <w:pPr>
        <w:pStyle w:val="ListParagraph"/>
        <w:numPr>
          <w:ilvl w:val="0"/>
          <w:numId w:val="4"/>
        </w:numPr>
      </w:pPr>
      <w:r w:rsidRPr="00E6638B">
        <w:t>Rules of the contest</w:t>
      </w:r>
    </w:p>
    <w:p w:rsidR="007F0B51" w:rsidRPr="00E6638B" w:rsidRDefault="007F0B51" w:rsidP="007F0B51">
      <w:pPr>
        <w:pStyle w:val="ListParagraph"/>
        <w:numPr>
          <w:ilvl w:val="0"/>
          <w:numId w:val="4"/>
        </w:numPr>
      </w:pPr>
      <w:r w:rsidRPr="00E6638B">
        <w:t>How</w:t>
      </w:r>
      <w:r w:rsidR="00025D22">
        <w:t xml:space="preserve"> to submit the entry/nomination</w:t>
      </w:r>
    </w:p>
    <w:p w:rsidR="007F0B51" w:rsidRPr="00E6638B" w:rsidRDefault="00025D22" w:rsidP="007F0B51">
      <w:pPr>
        <w:pStyle w:val="ListParagraph"/>
        <w:numPr>
          <w:ilvl w:val="0"/>
          <w:numId w:val="4"/>
        </w:numPr>
      </w:pPr>
      <w:r>
        <w:t>Further i</w:t>
      </w:r>
      <w:r w:rsidR="007F0B51" w:rsidRPr="00E6638B">
        <w:t>nformation</w:t>
      </w:r>
    </w:p>
    <w:p w:rsidR="007F0B51" w:rsidRPr="00E6638B" w:rsidRDefault="007F0B51" w:rsidP="007F0B51">
      <w:pPr>
        <w:pStyle w:val="ListParagraph"/>
        <w:numPr>
          <w:ilvl w:val="0"/>
          <w:numId w:val="4"/>
        </w:numPr>
      </w:pPr>
      <w:r w:rsidRPr="00E6638B">
        <w:t>Evaluation and selection of entries/nominations</w:t>
      </w:r>
    </w:p>
    <w:p w:rsidR="007F0B51" w:rsidRPr="00E6638B" w:rsidRDefault="007F0B51" w:rsidP="007F0B51">
      <w:pPr>
        <w:pStyle w:val="ListParagraph"/>
        <w:numPr>
          <w:ilvl w:val="0"/>
          <w:numId w:val="4"/>
        </w:numPr>
      </w:pPr>
      <w:r w:rsidRPr="00E6638B">
        <w:t>Notification of award candidates/nominators on the jury decision Annexes</w:t>
      </w:r>
    </w:p>
    <w:p w:rsidR="007F0B51" w:rsidRPr="00E6638B" w:rsidRDefault="007F0B51" w:rsidP="007F0B51">
      <w:pPr>
        <w:pStyle w:val="ListParagraph"/>
        <w:numPr>
          <w:ilvl w:val="0"/>
          <w:numId w:val="4"/>
        </w:numPr>
      </w:pPr>
      <w:r w:rsidRPr="00E6638B">
        <w:t>Annexes – Entry for</w:t>
      </w:r>
      <w:r w:rsidR="00ED0FEE">
        <w:t>m</w:t>
      </w:r>
    </w:p>
    <w:p w:rsidR="007F0B51" w:rsidRDefault="007F0B51" w:rsidP="007F0B51">
      <w:pPr>
        <w:rPr>
          <w:b/>
        </w:rPr>
      </w:pPr>
    </w:p>
    <w:p w:rsidR="007F0B51" w:rsidRDefault="007F0B51" w:rsidP="007F0B51">
      <w:pPr>
        <w:spacing w:after="0" w:line="240" w:lineRule="auto"/>
        <w:jc w:val="left"/>
        <w:rPr>
          <w:b/>
        </w:rPr>
      </w:pPr>
      <w:r>
        <w:rPr>
          <w:b/>
        </w:rPr>
        <w:br w:type="page"/>
      </w:r>
    </w:p>
    <w:p w:rsidR="007F0B51" w:rsidRDefault="007F0B51" w:rsidP="007F0B51">
      <w:pPr>
        <w:rPr>
          <w:b/>
        </w:rPr>
      </w:pPr>
      <w:r w:rsidRPr="00D9386D">
        <w:rPr>
          <w:b/>
        </w:rPr>
        <w:lastRenderedPageBreak/>
        <w:t xml:space="preserve">1. </w:t>
      </w:r>
      <w:r w:rsidR="00576BA6">
        <w:rPr>
          <w:b/>
        </w:rPr>
        <w:t>Background</w:t>
      </w:r>
    </w:p>
    <w:p w:rsidR="007F0B51" w:rsidRDefault="007F0B51" w:rsidP="007F0B51">
      <w:pPr>
        <w:spacing w:after="60"/>
      </w:pPr>
      <w:r>
        <w:t>T</w:t>
      </w:r>
      <w:r w:rsidR="00025D22">
        <w:t>he EU a</w:t>
      </w:r>
      <w:r>
        <w:t>ward regional scheme for investigative journalism in Western Balkans and Turkey is established by the European Commission, DG Enlargement, following the EU Enl</w:t>
      </w:r>
      <w:r w:rsidR="00025D22">
        <w:t>argement strategy which recognis</w:t>
      </w:r>
      <w:r>
        <w:t xml:space="preserve">es </w:t>
      </w:r>
      <w:r w:rsidR="00025D22">
        <w:t xml:space="preserve">a </w:t>
      </w:r>
      <w:r>
        <w:t xml:space="preserve">strong need for </w:t>
      </w:r>
      <w:r w:rsidRPr="005B7C0B">
        <w:t>ensuring freedom of expression in the media</w:t>
      </w:r>
      <w:r>
        <w:t>, and for support to investigative journalism to monitor the r</w:t>
      </w:r>
      <w:r w:rsidR="00025D22">
        <w:t xml:space="preserve">eform processes and to keep </w:t>
      </w:r>
      <w:r>
        <w:t>momentum toward</w:t>
      </w:r>
      <w:r w:rsidR="00025D22">
        <w:t>s</w:t>
      </w:r>
      <w:r>
        <w:t xml:space="preserve"> EU accession.</w:t>
      </w:r>
    </w:p>
    <w:p w:rsidR="00576BA6" w:rsidRDefault="00576BA6" w:rsidP="007F0B51">
      <w:pPr>
        <w:spacing w:after="60"/>
      </w:pPr>
      <w:r w:rsidRPr="00896A24">
        <w:t xml:space="preserve">Through the Award scheme, 63 prizes will be awarded </w:t>
      </w:r>
      <w:r>
        <w:t>for investigative work p</w:t>
      </w:r>
      <w:r w:rsidR="00FF5964">
        <w:t>ublished in 2018, 2019 and 202</w:t>
      </w:r>
      <w:r w:rsidR="007B01DE">
        <w:t>0,</w:t>
      </w:r>
      <w:r w:rsidRPr="00896A24">
        <w:t xml:space="preserve"> </w:t>
      </w:r>
      <w:r w:rsidR="007B01DE">
        <w:t>n</w:t>
      </w:r>
      <w:r>
        <w:t>ine</w:t>
      </w:r>
      <w:r w:rsidR="00025D22">
        <w:t xml:space="preserve"> from</w:t>
      </w:r>
      <w:r w:rsidRPr="00896A24">
        <w:t xml:space="preserve"> each project country (Albania, Bosnia and Herzegovina, Kosovo</w:t>
      </w:r>
      <w:r>
        <w:t>*</w:t>
      </w:r>
      <w:r w:rsidRPr="00896A24">
        <w:t xml:space="preserve">, </w:t>
      </w:r>
      <w:r w:rsidR="00FF5964">
        <w:t>North</w:t>
      </w:r>
      <w:r w:rsidRPr="002E46F6">
        <w:t xml:space="preserve"> Macedonia</w:t>
      </w:r>
      <w:r w:rsidRPr="00896A24">
        <w:t>, Montenegro, Serbia and Turkey).</w:t>
      </w:r>
    </w:p>
    <w:p w:rsidR="00576BA6" w:rsidRDefault="00576BA6" w:rsidP="00576BA6">
      <w:pPr>
        <w:spacing w:after="60"/>
      </w:pPr>
      <w:r>
        <w:t>The award fund for seven beneficiary countries for t</w:t>
      </w:r>
      <w:r w:rsidR="00025D22">
        <w:t>hree years in total is 210,000 EUR</w:t>
      </w:r>
      <w:r>
        <w:t xml:space="preserve">. </w:t>
      </w:r>
      <w:r w:rsidR="00025D22">
        <w:t>The a</w:t>
      </w:r>
      <w:r>
        <w:t>nnual award f</w:t>
      </w:r>
      <w:r w:rsidR="00025D22">
        <w:t>und for each country is 10,000 EUR</w:t>
      </w:r>
      <w:r>
        <w:t xml:space="preserve">; 1-3 journalists </w:t>
      </w:r>
      <w:r w:rsidR="00025D22">
        <w:t>will</w:t>
      </w:r>
      <w:r>
        <w:t xml:space="preserve"> be awarded in each</w:t>
      </w:r>
      <w:r w:rsidR="00025D22">
        <w:t xml:space="preserve"> country each year; 3000- 5000 </w:t>
      </w:r>
      <w:r w:rsidR="00EC13D8">
        <w:t>EUR</w:t>
      </w:r>
      <w:r>
        <w:t xml:space="preserve"> per individual prize is to be awarded. </w:t>
      </w:r>
    </w:p>
    <w:p w:rsidR="00576BA6" w:rsidRPr="00896A24" w:rsidRDefault="00576BA6" w:rsidP="00576BA6">
      <w:pPr>
        <w:tabs>
          <w:tab w:val="left" w:pos="709"/>
        </w:tabs>
        <w:spacing w:before="120"/>
      </w:pPr>
      <w:r w:rsidRPr="00896A24">
        <w:t>Fund fo</w:t>
      </w:r>
      <w:r w:rsidR="00025D22">
        <w:t>r the awards will be 210,000 EUR</w:t>
      </w:r>
      <w:r w:rsidRPr="00896A24">
        <w:t>, with a total of 10,000 EUR per country annually</w:t>
      </w:r>
      <w:r w:rsidR="00F46FC4">
        <w:t>.</w:t>
      </w:r>
      <w:r w:rsidRPr="00896A24">
        <w:t xml:space="preserve"> </w:t>
      </w:r>
    </w:p>
    <w:p w:rsidR="00576BA6" w:rsidRDefault="00576BA6" w:rsidP="007F0B51">
      <w:pPr>
        <w:spacing w:after="60"/>
      </w:pPr>
      <w:r>
        <w:t xml:space="preserve">The award is </w:t>
      </w:r>
      <w:r w:rsidR="00FF5964">
        <w:t>administered</w:t>
      </w:r>
      <w:r>
        <w:t xml:space="preserve"> by BIRN Hub and project partners within the EU funded project: “</w:t>
      </w:r>
      <w:r w:rsidRPr="00576BA6">
        <w:t>Strengthening Quality News and Independent Journalism in the Western Balkans and Turkey</w:t>
      </w:r>
      <w:r>
        <w:t>”. Project partners responsible for the implementation of the activity are as follows:</w:t>
      </w:r>
    </w:p>
    <w:p w:rsidR="00576BA6" w:rsidRDefault="00576BA6" w:rsidP="007F0B51">
      <w:pPr>
        <w:spacing w:after="60"/>
      </w:pPr>
    </w:p>
    <w:p w:rsidR="00576BA6" w:rsidRDefault="00576BA6" w:rsidP="00576BA6">
      <w:pPr>
        <w:pStyle w:val="ListParagraph"/>
        <w:numPr>
          <w:ilvl w:val="0"/>
          <w:numId w:val="9"/>
        </w:numPr>
        <w:spacing w:after="60"/>
      </w:pPr>
      <w:r>
        <w:t>BIRN Albania, Tirana, Albania</w:t>
      </w:r>
    </w:p>
    <w:p w:rsidR="00576BA6" w:rsidRDefault="00576BA6" w:rsidP="00576BA6">
      <w:pPr>
        <w:pStyle w:val="ListParagraph"/>
        <w:numPr>
          <w:ilvl w:val="0"/>
          <w:numId w:val="9"/>
        </w:numPr>
        <w:spacing w:after="60"/>
      </w:pPr>
      <w:proofErr w:type="spellStart"/>
      <w:r w:rsidRPr="00576BA6">
        <w:t>Center</w:t>
      </w:r>
      <w:proofErr w:type="spellEnd"/>
      <w:r w:rsidRPr="00576BA6">
        <w:t xml:space="preserve"> for Investigative Journalism of Montenegro</w:t>
      </w:r>
      <w:r>
        <w:t xml:space="preserve"> CIN-CG, Podgorica Montenegro</w:t>
      </w:r>
    </w:p>
    <w:p w:rsidR="00576BA6" w:rsidRDefault="00576BA6" w:rsidP="00576BA6">
      <w:pPr>
        <w:pStyle w:val="ListParagraph"/>
        <w:numPr>
          <w:ilvl w:val="0"/>
          <w:numId w:val="9"/>
        </w:numPr>
        <w:spacing w:after="60"/>
      </w:pPr>
      <w:r>
        <w:t>BIRN Hub, Sarajevo, Bosnia and Herzegovina</w:t>
      </w:r>
    </w:p>
    <w:p w:rsidR="00576BA6" w:rsidRDefault="00F46FC4" w:rsidP="00576BA6">
      <w:pPr>
        <w:pStyle w:val="ListParagraph"/>
        <w:numPr>
          <w:ilvl w:val="0"/>
          <w:numId w:val="9"/>
        </w:numPr>
        <w:spacing w:after="60"/>
      </w:pPr>
      <w:r>
        <w:t>BIRN Serbia, Belgrade, Serbia</w:t>
      </w:r>
    </w:p>
    <w:p w:rsidR="00F46FC4" w:rsidRDefault="00F46FC4" w:rsidP="00F46FC4">
      <w:pPr>
        <w:pStyle w:val="ListParagraph"/>
        <w:numPr>
          <w:ilvl w:val="0"/>
          <w:numId w:val="9"/>
        </w:numPr>
        <w:spacing w:after="60"/>
      </w:pPr>
      <w:r w:rsidRPr="00F46FC4">
        <w:t>Independent Union of Journalists and Media Workers (SSNM)</w:t>
      </w:r>
      <w:r w:rsidR="00025D22">
        <w:t>, Skop</w:t>
      </w:r>
      <w:r>
        <w:t xml:space="preserve">je, </w:t>
      </w:r>
      <w:r w:rsidR="00FF5964">
        <w:t xml:space="preserve">North </w:t>
      </w:r>
      <w:r w:rsidRPr="00FF5964">
        <w:t>Macedonia</w:t>
      </w:r>
    </w:p>
    <w:p w:rsidR="007F0B51" w:rsidRDefault="007F0B51" w:rsidP="007F0B51">
      <w:pPr>
        <w:spacing w:after="60"/>
      </w:pPr>
    </w:p>
    <w:p w:rsidR="007F0B51" w:rsidRDefault="007F0B51" w:rsidP="007F0B51">
      <w:pPr>
        <w:spacing w:after="60"/>
      </w:pPr>
      <w:r>
        <w:t xml:space="preserve">Investigative stories contributing to </w:t>
      </w:r>
      <w:r w:rsidR="00FF5964">
        <w:t xml:space="preserve">freedom of expression, rule of law, </w:t>
      </w:r>
      <w:r>
        <w:t>tran</w:t>
      </w:r>
      <w:r w:rsidR="00723F7D">
        <w:t>sparency and reporting on</w:t>
      </w:r>
      <w:r>
        <w:t xml:space="preserve"> </w:t>
      </w:r>
      <w:r w:rsidRPr="00E75921">
        <w:t>issues related to abuse of power and fundamental rights, corruption and organised crime that</w:t>
      </w:r>
      <w:r>
        <w:t xml:space="preserve"> otherwise would not have been brought to the public's attention will qualify for the award.</w:t>
      </w:r>
    </w:p>
    <w:p w:rsidR="00F46FC4" w:rsidRDefault="00F46FC4" w:rsidP="007F0B51"/>
    <w:p w:rsidR="007F0B51" w:rsidRDefault="007F0B51" w:rsidP="007F0B51">
      <w:pPr>
        <w:rPr>
          <w:b/>
        </w:rPr>
      </w:pPr>
      <w:r w:rsidRPr="00D9386D">
        <w:rPr>
          <w:b/>
        </w:rPr>
        <w:t xml:space="preserve">2. Purpose </w:t>
      </w:r>
    </w:p>
    <w:p w:rsidR="007F0B51" w:rsidRPr="00507ACB" w:rsidRDefault="007F0B51" w:rsidP="007F0B51">
      <w:r w:rsidRPr="00800430">
        <w:t xml:space="preserve">The </w:t>
      </w:r>
      <w:r w:rsidR="00025D22">
        <w:t>EU Award for Investigative J</w:t>
      </w:r>
      <w:r>
        <w:t xml:space="preserve">ournalism aims </w:t>
      </w:r>
      <w:r w:rsidRPr="00962315">
        <w:t>at celebrating and promoting outstanding achievements of investigative journalists and improving</w:t>
      </w:r>
      <w:r>
        <w:t xml:space="preserve"> the visibility of quality investigative </w:t>
      </w:r>
      <w:r w:rsidRPr="00507ACB">
        <w:t>jo</w:t>
      </w:r>
      <w:r w:rsidR="00025D22">
        <w:t xml:space="preserve">urnalism in the Western Balkan </w:t>
      </w:r>
      <w:r w:rsidRPr="00507ACB">
        <w:t xml:space="preserve">countries and Turkey. </w:t>
      </w:r>
    </w:p>
    <w:p w:rsidR="007F0B51" w:rsidRDefault="007F0B51" w:rsidP="007F0B51">
      <w:pPr>
        <w:rPr>
          <w:b/>
        </w:rPr>
      </w:pPr>
      <w:r w:rsidRPr="00D9386D">
        <w:rPr>
          <w:b/>
        </w:rPr>
        <w:t>3. Award fund</w:t>
      </w:r>
    </w:p>
    <w:p w:rsidR="007F0B51" w:rsidRPr="00FF5964" w:rsidRDefault="007F0B51" w:rsidP="00FF5964">
      <w:pPr>
        <w:spacing w:after="60"/>
        <w:rPr>
          <w:b/>
        </w:rPr>
      </w:pPr>
      <w:r>
        <w:t xml:space="preserve">The award fund in </w:t>
      </w:r>
      <w:r w:rsidR="009D01D4">
        <w:t xml:space="preserve">each country </w:t>
      </w:r>
      <w:r>
        <w:t xml:space="preserve">in </w:t>
      </w:r>
      <w:r w:rsidR="00F46FC4">
        <w:t>2019</w:t>
      </w:r>
      <w:r w:rsidRPr="00BF2BBB">
        <w:t xml:space="preserve"> (for achievements in </w:t>
      </w:r>
      <w:r w:rsidR="00F46FC4">
        <w:t>2018</w:t>
      </w:r>
      <w:r w:rsidRPr="00BF2BBB">
        <w:t>)</w:t>
      </w:r>
      <w:r>
        <w:t xml:space="preserve"> </w:t>
      </w:r>
      <w:r w:rsidRPr="003E7638">
        <w:t xml:space="preserve">is </w:t>
      </w:r>
      <w:r w:rsidR="00025D22">
        <w:rPr>
          <w:b/>
        </w:rPr>
        <w:t>10,000 EUR</w:t>
      </w:r>
      <w:r w:rsidRPr="005673B4">
        <w:rPr>
          <w:b/>
        </w:rPr>
        <w:t>.</w:t>
      </w:r>
      <w:r w:rsidR="00F46FC4" w:rsidRPr="00896A24">
        <w:t xml:space="preserve"> The first prize will be 5,000 EUR, the second 3,000 EUR, and the third prize will be 2,000 EUR.</w:t>
      </w:r>
      <w:r w:rsidR="00FF5964">
        <w:rPr>
          <w:b/>
        </w:rPr>
        <w:t xml:space="preserve"> </w:t>
      </w:r>
      <w:r w:rsidRPr="00FF5964">
        <w:t xml:space="preserve">In exceptional cases the jury may decide not to award all prizes if the quality of entries is not adequate. </w:t>
      </w:r>
    </w:p>
    <w:p w:rsidR="007F0B51" w:rsidRDefault="007F0B51" w:rsidP="007F0B51">
      <w:r w:rsidRPr="005673B4">
        <w:lastRenderedPageBreak/>
        <w:t>The prize amounts are presented in gross value, from which deductions shall be made in line with the national provisions.</w:t>
      </w:r>
    </w:p>
    <w:p w:rsidR="007F0B51" w:rsidRDefault="00110A07" w:rsidP="007F0B51">
      <w:pPr>
        <w:rPr>
          <w:b/>
        </w:rPr>
      </w:pPr>
      <w:r>
        <w:rPr>
          <w:b/>
        </w:rPr>
        <w:t>4. Eligibility criteria</w:t>
      </w:r>
    </w:p>
    <w:p w:rsidR="00110A07" w:rsidRDefault="00110A07" w:rsidP="007F0B51">
      <w:pPr>
        <w:rPr>
          <w:b/>
        </w:rPr>
      </w:pPr>
      <w:r>
        <w:rPr>
          <w:b/>
        </w:rPr>
        <w:t>Who can participate?</w:t>
      </w:r>
    </w:p>
    <w:p w:rsidR="008119C3" w:rsidRDefault="00110A07" w:rsidP="007F0B51">
      <w:r w:rsidRPr="00ED0FEE">
        <w:rPr>
          <w:rFonts w:cstheme="majorHAnsi"/>
        </w:rPr>
        <w:t>Individuals or group of journalists are eligible to apply</w:t>
      </w:r>
      <w:r>
        <w:rPr>
          <w:rFonts w:ascii="Arial" w:hAnsi="Arial" w:cs="Arial"/>
        </w:rPr>
        <w:t xml:space="preserve"> </w:t>
      </w:r>
      <w:r w:rsidRPr="00896A24">
        <w:t>with all journalism forms</w:t>
      </w:r>
      <w:r>
        <w:t xml:space="preserve"> (print, online, radio and TV) published </w:t>
      </w:r>
      <w:r w:rsidRPr="00BA0102">
        <w:t xml:space="preserve">or broadcasted in the media </w:t>
      </w:r>
      <w:r w:rsidR="009D01D4">
        <w:t>in each country</w:t>
      </w:r>
      <w:r>
        <w:t xml:space="preserve"> in official, </w:t>
      </w:r>
      <w:r w:rsidRPr="00BA0102">
        <w:t xml:space="preserve">minority </w:t>
      </w:r>
      <w:r w:rsidR="008119C3">
        <w:t xml:space="preserve">or international languages. </w:t>
      </w:r>
    </w:p>
    <w:p w:rsidR="008119C3" w:rsidRDefault="00110A07" w:rsidP="007F0B51">
      <w:r w:rsidRPr="00110A07">
        <w:t>Articles eligible for submission must appear in print</w:t>
      </w:r>
      <w:r w:rsidR="008119C3">
        <w:t>,</w:t>
      </w:r>
      <w:r w:rsidRPr="00110A07">
        <w:t xml:space="preserve"> online</w:t>
      </w:r>
      <w:r w:rsidR="008119C3">
        <w:t>, radio and TV media outlets</w:t>
      </w:r>
      <w:r w:rsidRPr="00110A07">
        <w:t xml:space="preserve"> during the 201</w:t>
      </w:r>
      <w:r>
        <w:t>8</w:t>
      </w:r>
      <w:r w:rsidRPr="008119C3">
        <w:t xml:space="preserve"> calendar year.</w:t>
      </w:r>
    </w:p>
    <w:p w:rsidR="008119C3" w:rsidRDefault="008119C3" w:rsidP="008119C3">
      <w:pPr>
        <w:spacing w:after="60"/>
      </w:pPr>
      <w:r>
        <w:t>I</w:t>
      </w:r>
      <w:r w:rsidRPr="00BA0102">
        <w:t>nvestigative st</w:t>
      </w:r>
      <w:r w:rsidR="00FF5964">
        <w:t xml:space="preserve">ories published </w:t>
      </w:r>
      <w:r w:rsidRPr="00BA0102">
        <w:t>in languages oth</w:t>
      </w:r>
      <w:r w:rsidR="00FF5964">
        <w:t>er than official language(s) of the country</w:t>
      </w:r>
      <w:r w:rsidRPr="00BA0102">
        <w:t xml:space="preserve"> </w:t>
      </w:r>
      <w:r>
        <w:t xml:space="preserve">should submit translation </w:t>
      </w:r>
      <w:r w:rsidRPr="00BA0102">
        <w:t>in the official language</w:t>
      </w:r>
      <w:r>
        <w:t>s</w:t>
      </w:r>
      <w:r w:rsidR="007649FE">
        <w:t xml:space="preserve"> of the country or English.</w:t>
      </w:r>
    </w:p>
    <w:p w:rsidR="008119C3" w:rsidRDefault="008119C3" w:rsidP="008119C3">
      <w:pPr>
        <w:spacing w:after="60"/>
      </w:pPr>
    </w:p>
    <w:p w:rsidR="008119C3" w:rsidRDefault="008119C3" w:rsidP="008119C3">
      <w:r>
        <w:t>Nominations</w:t>
      </w:r>
      <w:r w:rsidRPr="00FB5D4B">
        <w:t xml:space="preserve"> can</w:t>
      </w:r>
      <w:r>
        <w:t xml:space="preserve"> </w:t>
      </w:r>
      <w:r w:rsidRPr="00FB5D4B">
        <w:t>be submitted</w:t>
      </w:r>
      <w:r>
        <w:t xml:space="preserve"> by:</w:t>
      </w:r>
    </w:p>
    <w:p w:rsidR="008119C3" w:rsidRDefault="00025D22" w:rsidP="008119C3">
      <w:pPr>
        <w:pStyle w:val="ListParagraph"/>
        <w:numPr>
          <w:ilvl w:val="0"/>
          <w:numId w:val="9"/>
        </w:numPr>
      </w:pPr>
      <w:r>
        <w:t xml:space="preserve">Individuals or groups </w:t>
      </w:r>
      <w:r w:rsidR="008119C3">
        <w:t>of journalists who are the authors of the nominated investigative piece;</w:t>
      </w:r>
    </w:p>
    <w:p w:rsidR="007649FE" w:rsidRDefault="008119C3" w:rsidP="001D320F">
      <w:pPr>
        <w:pStyle w:val="ListParagraph"/>
        <w:numPr>
          <w:ilvl w:val="0"/>
          <w:numId w:val="9"/>
        </w:numPr>
      </w:pPr>
      <w:r>
        <w:t>Other individuals and organisations with prior written consent of the author(s)</w:t>
      </w:r>
    </w:p>
    <w:p w:rsidR="001D320F" w:rsidRDefault="001D320F" w:rsidP="007649FE">
      <w:r>
        <w:t>Individuals or group</w:t>
      </w:r>
      <w:r w:rsidR="00025D22">
        <w:t>s</w:t>
      </w:r>
      <w:r>
        <w:t xml:space="preserve"> of journalists</w:t>
      </w:r>
      <w:r w:rsidR="007649FE">
        <w:t xml:space="preserve"> are allowed to submit</w:t>
      </w:r>
      <w:r>
        <w:t xml:space="preserve"> one investigative piece</w:t>
      </w:r>
      <w:r w:rsidR="007649FE">
        <w:t xml:space="preserve"> or a series of articles with the same thematic focus</w:t>
      </w:r>
      <w:r w:rsidR="00ED0FEE">
        <w:t>.</w:t>
      </w:r>
      <w:r>
        <w:t xml:space="preserve"> </w:t>
      </w:r>
    </w:p>
    <w:p w:rsidR="001D320F" w:rsidRPr="00ED0FEE" w:rsidRDefault="001D320F" w:rsidP="001D320F">
      <w:r w:rsidRPr="00ED0FEE">
        <w:t xml:space="preserve">The candidate for the award and the nominator accept the rules </w:t>
      </w:r>
      <w:r w:rsidR="00ED0FEE" w:rsidRPr="00ED0FEE">
        <w:t>and conditions of this contest, it also needs to be willing to present themselves in public.</w:t>
      </w:r>
    </w:p>
    <w:p w:rsidR="001D320F" w:rsidRPr="00ED0FEE" w:rsidRDefault="001D320F" w:rsidP="001D320F">
      <w:pPr>
        <w:spacing w:after="60" w:line="240" w:lineRule="auto"/>
        <w:jc w:val="left"/>
      </w:pPr>
      <w:r w:rsidRPr="00ED0FEE">
        <w:t>The journalist may not participate in the contest or be awarded a prize if he or she is in any of the situations listed in Section 2.3.3 of the Practical Guide to contract procedures for EU external actions</w:t>
      </w:r>
      <w:r w:rsidRPr="00ED0FEE">
        <w:rPr>
          <w:color w:val="0000FF"/>
        </w:rPr>
        <w:t xml:space="preserve"> </w:t>
      </w:r>
      <w:r w:rsidRPr="00ED0FEE">
        <w:t xml:space="preserve"> available from the following Internet address: </w:t>
      </w:r>
    </w:p>
    <w:p w:rsidR="001D320F" w:rsidRDefault="003329D3" w:rsidP="001D320F">
      <w:pPr>
        <w:spacing w:after="60" w:line="240" w:lineRule="auto"/>
        <w:jc w:val="left"/>
      </w:pPr>
      <w:hyperlink r:id="rId7" w:history="1">
        <w:r w:rsidR="001D320F" w:rsidRPr="00ED0FEE">
          <w:rPr>
            <w:rStyle w:val="Hyperlink"/>
          </w:rPr>
          <w:t>http://ec.europa.eu/europeaid/prag/document.do?nodeNumber=2.3.3</w:t>
        </w:r>
      </w:hyperlink>
      <w:r w:rsidR="001D320F">
        <w:t xml:space="preserve"> </w:t>
      </w:r>
    </w:p>
    <w:p w:rsidR="001D320F" w:rsidRPr="008119C3" w:rsidRDefault="001D320F" w:rsidP="007F0B51"/>
    <w:p w:rsidR="008C6BA7" w:rsidRDefault="008119C3" w:rsidP="007F0B51">
      <w:pPr>
        <w:rPr>
          <w:b/>
        </w:rPr>
      </w:pPr>
      <w:r w:rsidRPr="008119C3">
        <w:rPr>
          <w:b/>
        </w:rPr>
        <w:t>Eligibility of the i</w:t>
      </w:r>
      <w:r w:rsidR="007F0B51" w:rsidRPr="008119C3">
        <w:rPr>
          <w:b/>
        </w:rPr>
        <w:t xml:space="preserve">nvestigative </w:t>
      </w:r>
      <w:r w:rsidR="008C6BA7">
        <w:rPr>
          <w:b/>
        </w:rPr>
        <w:t>stories</w:t>
      </w:r>
    </w:p>
    <w:p w:rsidR="008C6BA7" w:rsidRPr="00723F7D" w:rsidRDefault="00723F7D" w:rsidP="00723F7D">
      <w:pPr>
        <w:spacing w:after="60"/>
        <w:rPr>
          <w:rFonts w:cstheme="majorHAnsi"/>
        </w:rPr>
      </w:pPr>
      <w:r w:rsidRPr="00723F7D">
        <w:rPr>
          <w:rFonts w:cstheme="majorHAnsi"/>
        </w:rPr>
        <w:t xml:space="preserve">Investigative stories contributing to freedom of expression, rule of law, transparency and reporting on issues related to abuse of power and fundamental rights, corruption and organised crime that otherwise would not have been brought to the public's attention will qualify for the award. </w:t>
      </w:r>
      <w:r w:rsidR="008C6BA7" w:rsidRPr="00723F7D">
        <w:rPr>
          <w:rFonts w:cstheme="majorHAnsi"/>
        </w:rPr>
        <w:t>The submitted applicat</w:t>
      </w:r>
      <w:r w:rsidRPr="00723F7D">
        <w:rPr>
          <w:rFonts w:cstheme="majorHAnsi"/>
        </w:rPr>
        <w:t>ion must demonstrate</w:t>
      </w:r>
      <w:r w:rsidR="008C6BA7" w:rsidRPr="00723F7D">
        <w:rPr>
          <w:rFonts w:cstheme="majorHAnsi"/>
        </w:rPr>
        <w:t xml:space="preserve"> an original approach to researching and reporting an </w:t>
      </w:r>
      <w:r w:rsidR="008C6BA7" w:rsidRPr="00723F7D">
        <w:rPr>
          <w:rFonts w:cstheme="majorHAnsi"/>
          <w:noProof/>
        </w:rPr>
        <w:t>important</w:t>
      </w:r>
      <w:r w:rsidR="008C6BA7" w:rsidRPr="00723F7D">
        <w:rPr>
          <w:rFonts w:cstheme="majorHAnsi"/>
        </w:rPr>
        <w:t xml:space="preserve"> aspect of the topic. Appropriate research should </w:t>
      </w:r>
      <w:r w:rsidR="008C6BA7" w:rsidRPr="00723F7D">
        <w:rPr>
          <w:rFonts w:cstheme="majorHAnsi"/>
          <w:noProof/>
        </w:rPr>
        <w:t>be conducted</w:t>
      </w:r>
      <w:r w:rsidR="008C6BA7" w:rsidRPr="00723F7D">
        <w:rPr>
          <w:rFonts w:cstheme="majorHAnsi"/>
        </w:rPr>
        <w:t xml:space="preserve"> </w:t>
      </w:r>
      <w:r w:rsidR="008C6BA7" w:rsidRPr="00723F7D">
        <w:rPr>
          <w:rFonts w:cstheme="majorHAnsi"/>
          <w:noProof/>
        </w:rPr>
        <w:t>in order to</w:t>
      </w:r>
      <w:r w:rsidR="008C6BA7" w:rsidRPr="00723F7D">
        <w:rPr>
          <w:rFonts w:cstheme="majorHAnsi"/>
        </w:rPr>
        <w:t xml:space="preserve"> produce in-depth investigation. The </w:t>
      </w:r>
      <w:r w:rsidR="008C6BA7" w:rsidRPr="00723F7D">
        <w:rPr>
          <w:rFonts w:cstheme="majorHAnsi"/>
          <w:noProof/>
        </w:rPr>
        <w:t>investigation</w:t>
      </w:r>
      <w:r w:rsidR="008C6BA7" w:rsidRPr="00723F7D">
        <w:rPr>
          <w:rFonts w:cstheme="majorHAnsi"/>
        </w:rPr>
        <w:t xml:space="preserve"> should feature fresh information and interviews, and be analytical and investigative </w:t>
      </w:r>
      <w:r w:rsidR="008C6BA7" w:rsidRPr="00723F7D">
        <w:rPr>
          <w:rFonts w:cstheme="majorHAnsi"/>
          <w:noProof/>
        </w:rPr>
        <w:t>in nature</w:t>
      </w:r>
      <w:r w:rsidR="008C6BA7" w:rsidRPr="00723F7D">
        <w:rPr>
          <w:rFonts w:cstheme="majorHAnsi"/>
        </w:rPr>
        <w:t xml:space="preserve">. </w:t>
      </w:r>
    </w:p>
    <w:p w:rsidR="008C6BA7" w:rsidRDefault="008C6BA7" w:rsidP="008C6BA7">
      <w:pPr>
        <w:rPr>
          <w:rFonts w:ascii="Arial" w:hAnsi="Arial" w:cs="Arial"/>
        </w:rPr>
      </w:pPr>
    </w:p>
    <w:p w:rsidR="008C6BA7" w:rsidRDefault="008C6BA7" w:rsidP="00723F7D">
      <w:pPr>
        <w:spacing w:after="60"/>
      </w:pPr>
      <w:r>
        <w:t>I</w:t>
      </w:r>
      <w:r w:rsidRPr="00962315">
        <w:t xml:space="preserve">nvestigative stories </w:t>
      </w:r>
      <w:r w:rsidR="00723F7D">
        <w:t xml:space="preserve">need to be </w:t>
      </w:r>
      <w:r w:rsidR="00B83F5F">
        <w:t xml:space="preserve">published between </w:t>
      </w:r>
      <w:r>
        <w:t>January</w:t>
      </w:r>
      <w:r w:rsidR="00B83F5F">
        <w:t xml:space="preserve"> </w:t>
      </w:r>
      <w:r w:rsidR="00ED0FEE">
        <w:t>1 and</w:t>
      </w:r>
      <w:r w:rsidR="00B83F5F">
        <w:t xml:space="preserve"> </w:t>
      </w:r>
      <w:r w:rsidR="00723F7D">
        <w:t xml:space="preserve">December </w:t>
      </w:r>
      <w:r w:rsidR="00025D22">
        <w:t xml:space="preserve">31, </w:t>
      </w:r>
      <w:r w:rsidR="00723F7D">
        <w:t xml:space="preserve">2018. </w:t>
      </w:r>
    </w:p>
    <w:p w:rsidR="007F0B51" w:rsidRPr="00BA0102" w:rsidRDefault="007F0B51" w:rsidP="007F0B51">
      <w:pPr>
        <w:spacing w:after="60"/>
      </w:pPr>
    </w:p>
    <w:p w:rsidR="007F0B51" w:rsidRPr="004D1B7B" w:rsidRDefault="007F0B51" w:rsidP="007F0B51">
      <w:pPr>
        <w:spacing w:after="60" w:line="240" w:lineRule="auto"/>
        <w:rPr>
          <w:color w:val="0000FF"/>
        </w:rPr>
      </w:pPr>
    </w:p>
    <w:p w:rsidR="007F0B51" w:rsidRDefault="007F0B51" w:rsidP="007F0B51">
      <w:pPr>
        <w:rPr>
          <w:b/>
        </w:rPr>
      </w:pPr>
      <w:r w:rsidRPr="00D9386D">
        <w:rPr>
          <w:b/>
        </w:rPr>
        <w:t xml:space="preserve">5. How to </w:t>
      </w:r>
      <w:r>
        <w:rPr>
          <w:b/>
        </w:rPr>
        <w:t>submit the entry/nomination?</w:t>
      </w:r>
    </w:p>
    <w:p w:rsidR="007F0B51" w:rsidRDefault="007F0B51" w:rsidP="007F0B51">
      <w:pPr>
        <w:rPr>
          <w:u w:val="single"/>
        </w:rPr>
      </w:pPr>
      <w:r w:rsidRPr="00EB2D6A">
        <w:rPr>
          <w:u w:val="single"/>
        </w:rPr>
        <w:t xml:space="preserve">5.1 </w:t>
      </w:r>
      <w:r>
        <w:rPr>
          <w:u w:val="single"/>
        </w:rPr>
        <w:t>Entry</w:t>
      </w:r>
      <w:r w:rsidRPr="00EB2D6A">
        <w:rPr>
          <w:u w:val="single"/>
        </w:rPr>
        <w:t xml:space="preserve"> forms</w:t>
      </w:r>
    </w:p>
    <w:p w:rsidR="007F0B51" w:rsidRDefault="00D21DCA" w:rsidP="007F0B51">
      <w:r>
        <w:t xml:space="preserve">Entries </w:t>
      </w:r>
      <w:r w:rsidR="007F0B51">
        <w:t>must be prepared on the entry forms and in acco</w:t>
      </w:r>
      <w:r>
        <w:t xml:space="preserve">rdance with the instructions. </w:t>
      </w:r>
      <w:r w:rsidR="007F0B51">
        <w:t xml:space="preserve"> </w:t>
      </w:r>
      <w:r>
        <w:t xml:space="preserve">Only complete entry forms will be accepted for the prize. </w:t>
      </w:r>
    </w:p>
    <w:p w:rsidR="007F0B51" w:rsidRPr="004E1584" w:rsidRDefault="00D21DCA" w:rsidP="007F0B51">
      <w:pPr>
        <w:rPr>
          <w:u w:val="single"/>
        </w:rPr>
      </w:pPr>
      <w:r w:rsidRPr="004E1584">
        <w:rPr>
          <w:u w:val="single"/>
        </w:rPr>
        <w:t xml:space="preserve">5.2. </w:t>
      </w:r>
      <w:r w:rsidR="004E1584" w:rsidRPr="004E1584">
        <w:rPr>
          <w:u w:val="single"/>
        </w:rPr>
        <w:t>Nominating story</w:t>
      </w:r>
    </w:p>
    <w:p w:rsidR="004E1584" w:rsidRPr="009F729F" w:rsidRDefault="004E1584" w:rsidP="004E1584">
      <w:pPr>
        <w:pStyle w:val="ListParagraph"/>
        <w:numPr>
          <w:ilvl w:val="1"/>
          <w:numId w:val="7"/>
        </w:numPr>
      </w:pPr>
      <w:r w:rsidRPr="00025D22">
        <w:t>Print:</w:t>
      </w:r>
      <w:r w:rsidRPr="009F729F">
        <w:t xml:space="preserve"> Attach a PDF of your entry or provide URL where your entry can be read. </w:t>
      </w:r>
    </w:p>
    <w:p w:rsidR="004E1584" w:rsidRDefault="004E1584" w:rsidP="004E1584">
      <w:pPr>
        <w:pStyle w:val="ListParagraph"/>
        <w:numPr>
          <w:ilvl w:val="1"/>
          <w:numId w:val="7"/>
        </w:numPr>
        <w:tabs>
          <w:tab w:val="left" w:pos="708"/>
        </w:tabs>
      </w:pPr>
      <w:r w:rsidRPr="002C2205">
        <w:t xml:space="preserve">TV/radio: </w:t>
      </w:r>
      <w:r w:rsidRPr="009F729F">
        <w:t xml:space="preserve">Provide URL where your entry can be viewed/heard </w:t>
      </w:r>
      <w:r w:rsidRPr="002C2205">
        <w:t xml:space="preserve">or submit the entry in </w:t>
      </w:r>
      <w:r>
        <w:t xml:space="preserve">an easily accessible electronic format. </w:t>
      </w:r>
    </w:p>
    <w:p w:rsidR="004E1584" w:rsidRDefault="004E1584" w:rsidP="004E1584">
      <w:pPr>
        <w:pStyle w:val="ListParagraph"/>
        <w:numPr>
          <w:ilvl w:val="1"/>
          <w:numId w:val="7"/>
        </w:numPr>
        <w:tabs>
          <w:tab w:val="left" w:pos="708"/>
        </w:tabs>
      </w:pPr>
      <w:r w:rsidRPr="002C2205">
        <w:t>Online</w:t>
      </w:r>
      <w:r w:rsidRPr="009F729F">
        <w:t xml:space="preserve">: Provide URL where your entry can be accessed </w:t>
      </w:r>
      <w:r w:rsidRPr="002C2205">
        <w:t>or submit the entry in</w:t>
      </w:r>
      <w:r>
        <w:t xml:space="preserve"> an easily accessible electronic format.</w:t>
      </w:r>
    </w:p>
    <w:p w:rsidR="007F0B51" w:rsidRDefault="007F0B51" w:rsidP="007F0B51">
      <w:pPr>
        <w:rPr>
          <w:u w:val="single"/>
        </w:rPr>
      </w:pPr>
      <w:r>
        <w:rPr>
          <w:u w:val="single"/>
        </w:rPr>
        <w:t xml:space="preserve">5.2 Where to submit the entry/nomination? </w:t>
      </w:r>
    </w:p>
    <w:p w:rsidR="007F0B51" w:rsidRDefault="007F0B51" w:rsidP="007F0B51">
      <w:r>
        <w:t xml:space="preserve">The entry/nomination must be submitted </w:t>
      </w:r>
      <w:r w:rsidRPr="00437A50">
        <w:rPr>
          <w:b/>
        </w:rPr>
        <w:t>electronically</w:t>
      </w:r>
      <w:r>
        <w:t xml:space="preserve"> to the following </w:t>
      </w:r>
      <w:r w:rsidR="00F10B0B">
        <w:rPr>
          <w:b/>
        </w:rPr>
        <w:t>e</w:t>
      </w:r>
      <w:r w:rsidRPr="00437A50">
        <w:rPr>
          <w:b/>
        </w:rPr>
        <w:t xml:space="preserve">mail </w:t>
      </w:r>
      <w:r>
        <w:rPr>
          <w:b/>
        </w:rPr>
        <w:t>address</w:t>
      </w:r>
      <w:r>
        <w:t>:</w:t>
      </w:r>
      <w:r w:rsidR="004E1584">
        <w:t xml:space="preserve"> </w:t>
      </w:r>
      <w:r w:rsidR="009D01D4" w:rsidRPr="009D01D4">
        <w:t>euawards@birn.eu.com</w:t>
      </w:r>
      <w:r w:rsidRPr="009D01D4">
        <w:rPr>
          <w:noProof/>
          <w:lang w:val="sr-Latn-CS"/>
        </w:rPr>
        <w:t>;</w:t>
      </w:r>
      <w:bookmarkStart w:id="0" w:name="_GoBack"/>
      <w:bookmarkEnd w:id="0"/>
      <w:r w:rsidRPr="00437A50">
        <w:rPr>
          <w:b/>
        </w:rPr>
        <w:t xml:space="preserve"> subject title</w:t>
      </w:r>
      <w:r>
        <w:t>: EU award &gt;name of the nominator&lt;</w:t>
      </w:r>
    </w:p>
    <w:p w:rsidR="007F0B51" w:rsidRPr="00B83F5F" w:rsidRDefault="007F0B51" w:rsidP="00B83F5F">
      <w:r>
        <w:rPr>
          <w:u w:val="single"/>
        </w:rPr>
        <w:t>5.3 Deadline for submission of entries</w:t>
      </w:r>
    </w:p>
    <w:p w:rsidR="007F0B51" w:rsidRDefault="007F0B51" w:rsidP="007F0B51">
      <w:r w:rsidRPr="00B71536">
        <w:t xml:space="preserve">Deadline for </w:t>
      </w:r>
      <w:r>
        <w:t>submission</w:t>
      </w:r>
      <w:r w:rsidRPr="00B71536">
        <w:t xml:space="preserve"> of </w:t>
      </w:r>
      <w:r>
        <w:t xml:space="preserve">entries </w:t>
      </w:r>
      <w:r w:rsidR="00F10B0B">
        <w:rPr>
          <w:b/>
        </w:rPr>
        <w:t>by e</w:t>
      </w:r>
      <w:r w:rsidRPr="004975D3">
        <w:rPr>
          <w:b/>
        </w:rPr>
        <w:t>mail</w:t>
      </w:r>
      <w:r w:rsidRPr="00B71536">
        <w:t xml:space="preserve">: </w:t>
      </w:r>
      <w:r w:rsidR="005538A3">
        <w:t>17</w:t>
      </w:r>
      <w:r w:rsidR="004E1584">
        <w:t>/07/2019</w:t>
      </w:r>
      <w:r>
        <w:t>, 12:00 PM</w:t>
      </w:r>
    </w:p>
    <w:p w:rsidR="007F0B51" w:rsidRDefault="007F0B51" w:rsidP="007F0B51">
      <w:pPr>
        <w:rPr>
          <w:b/>
        </w:rPr>
      </w:pPr>
      <w:r w:rsidRPr="00D9386D">
        <w:rPr>
          <w:b/>
        </w:rPr>
        <w:t xml:space="preserve">6. </w:t>
      </w:r>
      <w:r>
        <w:rPr>
          <w:b/>
        </w:rPr>
        <w:t>Further information</w:t>
      </w:r>
    </w:p>
    <w:p w:rsidR="00B83F5F" w:rsidRDefault="007F0B51" w:rsidP="007F0B51">
      <w:r>
        <w:t>Send your question to this</w:t>
      </w:r>
      <w:r w:rsidRPr="005845FA">
        <w:t xml:space="preserve"> </w:t>
      </w:r>
      <w:r w:rsidR="00F10B0B">
        <w:t>e</w:t>
      </w:r>
      <w:r w:rsidRPr="002C2205">
        <w:t xml:space="preserve">mail address: </w:t>
      </w:r>
      <w:r w:rsidR="009D01D4" w:rsidRPr="009D01D4">
        <w:t>euawards@birn.eu.com</w:t>
      </w:r>
    </w:p>
    <w:p w:rsidR="007F0B51" w:rsidRDefault="007F0B51" w:rsidP="007F0B51">
      <w:pPr>
        <w:rPr>
          <w:b/>
        </w:rPr>
      </w:pPr>
      <w:r w:rsidRPr="00D9386D">
        <w:rPr>
          <w:b/>
        </w:rPr>
        <w:t xml:space="preserve">7. Evaluation and selection of </w:t>
      </w:r>
      <w:r>
        <w:rPr>
          <w:b/>
        </w:rPr>
        <w:t>entries/nominations</w:t>
      </w:r>
    </w:p>
    <w:p w:rsidR="007F0B51" w:rsidRDefault="007F0B51" w:rsidP="007F0B51">
      <w:r w:rsidRPr="00BB1BC7">
        <w:t xml:space="preserve">The entries compliant with the eligibility and administrative requirements will be evaluated by the jury against selection and award criteria: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7"/>
        <w:gridCol w:w="1338"/>
      </w:tblGrid>
      <w:tr w:rsidR="007F0B51" w:rsidRPr="00064A19" w:rsidTr="001D320F">
        <w:trPr>
          <w:cnfStyle w:val="100000000000" w:firstRow="1" w:lastRow="0" w:firstColumn="0" w:lastColumn="0" w:oddVBand="0" w:evenVBand="0" w:oddHBand="0" w:evenHBand="0" w:firstRowFirstColumn="0" w:firstRowLastColumn="0" w:lastRowFirstColumn="0" w:lastRowLastColumn="0"/>
        </w:trPr>
        <w:tc>
          <w:tcPr>
            <w:tcW w:w="7177" w:type="dxa"/>
            <w:shd w:val="clear" w:color="auto" w:fill="123072"/>
          </w:tcPr>
          <w:p w:rsidR="007F0B51" w:rsidRPr="00064A19" w:rsidRDefault="007F0B51" w:rsidP="001D320F">
            <w:pPr>
              <w:spacing w:after="60" w:line="240" w:lineRule="auto"/>
              <w:rPr>
                <w:b w:val="0"/>
                <w:color w:val="FFFFFF" w:themeColor="background1"/>
              </w:rPr>
            </w:pPr>
            <w:r w:rsidRPr="00064A19">
              <w:rPr>
                <w:b w:val="0"/>
                <w:color w:val="FFFFFF" w:themeColor="background1"/>
              </w:rPr>
              <w:t xml:space="preserve">Criteria </w:t>
            </w:r>
          </w:p>
        </w:tc>
        <w:tc>
          <w:tcPr>
            <w:tcW w:w="1338" w:type="dxa"/>
            <w:shd w:val="clear" w:color="auto" w:fill="123072"/>
          </w:tcPr>
          <w:p w:rsidR="007F0B51" w:rsidRPr="00064A19" w:rsidRDefault="007F0B51" w:rsidP="001D320F">
            <w:pPr>
              <w:spacing w:after="60" w:line="240" w:lineRule="auto"/>
              <w:jc w:val="center"/>
              <w:rPr>
                <w:b w:val="0"/>
              </w:rPr>
            </w:pPr>
            <w:r w:rsidRPr="00064A19">
              <w:rPr>
                <w:b w:val="0"/>
              </w:rPr>
              <w:t>MAX score</w:t>
            </w:r>
          </w:p>
        </w:tc>
      </w:tr>
      <w:tr w:rsidR="007F0B51" w:rsidRPr="00507ACB" w:rsidTr="001D320F">
        <w:tc>
          <w:tcPr>
            <w:tcW w:w="7177" w:type="dxa"/>
          </w:tcPr>
          <w:p w:rsidR="007F0B51" w:rsidRPr="00507ACB" w:rsidRDefault="007F0B51" w:rsidP="001D320F">
            <w:pPr>
              <w:spacing w:after="0" w:line="240" w:lineRule="auto"/>
              <w:rPr>
                <w:b/>
                <w:sz w:val="20"/>
              </w:rPr>
            </w:pPr>
            <w:r w:rsidRPr="00507ACB">
              <w:rPr>
                <w:b/>
                <w:sz w:val="20"/>
              </w:rPr>
              <w:t>1. Relevance of the investigative story</w:t>
            </w:r>
          </w:p>
          <w:p w:rsidR="007F0B51" w:rsidRPr="00B83F5F" w:rsidRDefault="007F0B51" w:rsidP="00B83F5F">
            <w:pPr>
              <w:spacing w:after="0"/>
              <w:ind w:left="454" w:hanging="170"/>
              <w:rPr>
                <w:sz w:val="20"/>
              </w:rPr>
            </w:pPr>
          </w:p>
        </w:tc>
        <w:tc>
          <w:tcPr>
            <w:tcW w:w="1338" w:type="dxa"/>
          </w:tcPr>
          <w:p w:rsidR="007F0B51" w:rsidRPr="00507ACB" w:rsidRDefault="007F0B51" w:rsidP="001D320F">
            <w:pPr>
              <w:spacing w:after="0" w:line="240" w:lineRule="auto"/>
              <w:jc w:val="center"/>
              <w:rPr>
                <w:b/>
                <w:sz w:val="20"/>
              </w:rPr>
            </w:pPr>
            <w:r w:rsidRPr="00507ACB">
              <w:rPr>
                <w:b/>
                <w:sz w:val="20"/>
              </w:rPr>
              <w:t>20</w:t>
            </w:r>
          </w:p>
        </w:tc>
      </w:tr>
      <w:tr w:rsidR="007F0B51" w:rsidRPr="00507ACB" w:rsidTr="001D320F">
        <w:tc>
          <w:tcPr>
            <w:tcW w:w="7177" w:type="dxa"/>
          </w:tcPr>
          <w:p w:rsidR="007F0B51" w:rsidRPr="00B83F5F" w:rsidRDefault="00B83F5F" w:rsidP="00B83F5F">
            <w:pPr>
              <w:spacing w:after="0" w:line="240" w:lineRule="auto"/>
              <w:rPr>
                <w:b/>
                <w:sz w:val="20"/>
              </w:rPr>
            </w:pPr>
            <w:r>
              <w:rPr>
                <w:b/>
                <w:sz w:val="20"/>
              </w:rPr>
              <w:t>2</w:t>
            </w:r>
            <w:r w:rsidR="007F0B51" w:rsidRPr="00507ACB">
              <w:rPr>
                <w:b/>
                <w:sz w:val="20"/>
              </w:rPr>
              <w:t>. Quality of the investigative story</w:t>
            </w:r>
            <w:r>
              <w:rPr>
                <w:b/>
                <w:sz w:val="20"/>
              </w:rPr>
              <w:t xml:space="preserve"> and its elements </w:t>
            </w:r>
          </w:p>
        </w:tc>
        <w:tc>
          <w:tcPr>
            <w:tcW w:w="1338" w:type="dxa"/>
          </w:tcPr>
          <w:p w:rsidR="007F0B51" w:rsidRPr="00507ACB" w:rsidRDefault="00B83F5F" w:rsidP="001D320F">
            <w:pPr>
              <w:spacing w:after="0" w:line="240" w:lineRule="auto"/>
              <w:jc w:val="center"/>
              <w:rPr>
                <w:b/>
                <w:sz w:val="20"/>
              </w:rPr>
            </w:pPr>
            <w:r>
              <w:rPr>
                <w:b/>
                <w:sz w:val="20"/>
              </w:rPr>
              <w:t>30</w:t>
            </w:r>
          </w:p>
          <w:p w:rsidR="007F0B51" w:rsidRPr="00507ACB" w:rsidRDefault="007F0B51" w:rsidP="00B83F5F">
            <w:pPr>
              <w:spacing w:after="0" w:line="240" w:lineRule="auto"/>
              <w:jc w:val="center"/>
              <w:rPr>
                <w:sz w:val="20"/>
              </w:rPr>
            </w:pPr>
          </w:p>
        </w:tc>
      </w:tr>
      <w:tr w:rsidR="007F0B51" w:rsidRPr="00507ACB" w:rsidTr="001D320F">
        <w:tc>
          <w:tcPr>
            <w:tcW w:w="7177" w:type="dxa"/>
          </w:tcPr>
          <w:p w:rsidR="007F0B51" w:rsidRPr="00507ACB" w:rsidRDefault="007F0B51" w:rsidP="001D320F">
            <w:pPr>
              <w:spacing w:after="0" w:line="240" w:lineRule="auto"/>
              <w:rPr>
                <w:b/>
                <w:sz w:val="20"/>
              </w:rPr>
            </w:pPr>
            <w:r w:rsidRPr="00507ACB">
              <w:rPr>
                <w:b/>
                <w:sz w:val="20"/>
              </w:rPr>
              <w:t>3. Impartiality</w:t>
            </w:r>
          </w:p>
          <w:p w:rsidR="007F0B51" w:rsidRPr="00B83F5F" w:rsidRDefault="007F0B51" w:rsidP="00B83F5F">
            <w:pPr>
              <w:spacing w:after="0"/>
              <w:rPr>
                <w:sz w:val="20"/>
              </w:rPr>
            </w:pPr>
          </w:p>
        </w:tc>
        <w:tc>
          <w:tcPr>
            <w:tcW w:w="1338" w:type="dxa"/>
          </w:tcPr>
          <w:p w:rsidR="007F0B51" w:rsidRPr="00507ACB" w:rsidRDefault="007F0B51" w:rsidP="001D320F">
            <w:pPr>
              <w:spacing w:after="0" w:line="240" w:lineRule="auto"/>
              <w:jc w:val="center"/>
              <w:rPr>
                <w:b/>
                <w:sz w:val="20"/>
              </w:rPr>
            </w:pPr>
            <w:r w:rsidRPr="00507ACB">
              <w:rPr>
                <w:b/>
                <w:sz w:val="20"/>
              </w:rPr>
              <w:t>20</w:t>
            </w:r>
          </w:p>
        </w:tc>
      </w:tr>
      <w:tr w:rsidR="007F0B51" w:rsidRPr="00507ACB" w:rsidTr="001D320F">
        <w:tc>
          <w:tcPr>
            <w:tcW w:w="7177" w:type="dxa"/>
          </w:tcPr>
          <w:p w:rsidR="007F0B51" w:rsidRPr="00507ACB" w:rsidRDefault="00B83F5F" w:rsidP="001D320F">
            <w:pPr>
              <w:spacing w:after="0" w:line="240" w:lineRule="auto"/>
              <w:rPr>
                <w:b/>
                <w:sz w:val="20"/>
              </w:rPr>
            </w:pPr>
            <w:r>
              <w:rPr>
                <w:b/>
                <w:sz w:val="20"/>
              </w:rPr>
              <w:t>4</w:t>
            </w:r>
            <w:r w:rsidR="007F0B51" w:rsidRPr="00507ACB">
              <w:rPr>
                <w:b/>
                <w:sz w:val="20"/>
              </w:rPr>
              <w:t>. Originality</w:t>
            </w:r>
          </w:p>
          <w:p w:rsidR="007F0B51" w:rsidRPr="00B83F5F" w:rsidRDefault="007F0B51" w:rsidP="00B83F5F">
            <w:pPr>
              <w:spacing w:after="0"/>
              <w:ind w:left="454" w:hanging="170"/>
              <w:rPr>
                <w:b/>
                <w:sz w:val="20"/>
              </w:rPr>
            </w:pPr>
            <w:r w:rsidRPr="00B83F5F">
              <w:rPr>
                <w:sz w:val="20"/>
              </w:rPr>
              <w:t xml:space="preserve"> </w:t>
            </w:r>
          </w:p>
        </w:tc>
        <w:tc>
          <w:tcPr>
            <w:tcW w:w="1338" w:type="dxa"/>
          </w:tcPr>
          <w:p w:rsidR="007F0B51" w:rsidRPr="00507ACB" w:rsidRDefault="007F0B51" w:rsidP="001D320F">
            <w:pPr>
              <w:spacing w:after="0" w:line="240" w:lineRule="auto"/>
              <w:jc w:val="center"/>
              <w:rPr>
                <w:b/>
                <w:sz w:val="20"/>
              </w:rPr>
            </w:pPr>
            <w:r w:rsidRPr="00507ACB">
              <w:rPr>
                <w:b/>
                <w:sz w:val="20"/>
              </w:rPr>
              <w:t>10</w:t>
            </w:r>
          </w:p>
        </w:tc>
      </w:tr>
      <w:tr w:rsidR="007F0B51" w:rsidRPr="00507ACB" w:rsidTr="001D320F">
        <w:tc>
          <w:tcPr>
            <w:tcW w:w="7177" w:type="dxa"/>
          </w:tcPr>
          <w:p w:rsidR="007F0B51" w:rsidRPr="00507ACB" w:rsidRDefault="00B83F5F" w:rsidP="001D320F">
            <w:pPr>
              <w:spacing w:after="0" w:line="240" w:lineRule="auto"/>
              <w:rPr>
                <w:b/>
                <w:sz w:val="20"/>
              </w:rPr>
            </w:pPr>
            <w:r>
              <w:rPr>
                <w:b/>
                <w:sz w:val="20"/>
              </w:rPr>
              <w:t>5. Journalist’s</w:t>
            </w:r>
            <w:r w:rsidR="007F0B51" w:rsidRPr="00507ACB">
              <w:rPr>
                <w:b/>
                <w:sz w:val="20"/>
              </w:rPr>
              <w:t xml:space="preserve"> commitment and integrity</w:t>
            </w:r>
          </w:p>
          <w:p w:rsidR="007F0B51" w:rsidRPr="00507ACB" w:rsidRDefault="007F0B51" w:rsidP="00B83F5F">
            <w:pPr>
              <w:pStyle w:val="ListParagraph"/>
              <w:numPr>
                <w:ilvl w:val="0"/>
                <w:numId w:val="0"/>
              </w:numPr>
              <w:spacing w:after="0"/>
              <w:ind w:left="454"/>
              <w:rPr>
                <w:sz w:val="20"/>
              </w:rPr>
            </w:pPr>
            <w:r w:rsidRPr="00507ACB">
              <w:rPr>
                <w:sz w:val="20"/>
              </w:rPr>
              <w:t xml:space="preserve"> </w:t>
            </w:r>
          </w:p>
        </w:tc>
        <w:tc>
          <w:tcPr>
            <w:tcW w:w="1338" w:type="dxa"/>
          </w:tcPr>
          <w:p w:rsidR="007F0B51" w:rsidRPr="00507ACB" w:rsidRDefault="007F0B51" w:rsidP="001D320F">
            <w:pPr>
              <w:spacing w:after="0" w:line="240" w:lineRule="auto"/>
              <w:jc w:val="center"/>
              <w:rPr>
                <w:b/>
                <w:sz w:val="20"/>
              </w:rPr>
            </w:pPr>
            <w:r w:rsidRPr="00507ACB">
              <w:rPr>
                <w:b/>
                <w:sz w:val="20"/>
              </w:rPr>
              <w:t>10</w:t>
            </w:r>
          </w:p>
        </w:tc>
      </w:tr>
      <w:tr w:rsidR="00B83F5F" w:rsidRPr="00507ACB" w:rsidTr="001D320F">
        <w:tc>
          <w:tcPr>
            <w:tcW w:w="7177" w:type="dxa"/>
          </w:tcPr>
          <w:p w:rsidR="00B83F5F" w:rsidRDefault="00B83F5F" w:rsidP="001D320F">
            <w:pPr>
              <w:spacing w:after="0" w:line="240" w:lineRule="auto"/>
              <w:rPr>
                <w:b/>
                <w:sz w:val="20"/>
              </w:rPr>
            </w:pPr>
            <w:r>
              <w:rPr>
                <w:b/>
                <w:sz w:val="20"/>
              </w:rPr>
              <w:t xml:space="preserve">6. Impact </w:t>
            </w:r>
          </w:p>
        </w:tc>
        <w:tc>
          <w:tcPr>
            <w:tcW w:w="1338" w:type="dxa"/>
          </w:tcPr>
          <w:p w:rsidR="00B83F5F" w:rsidRPr="00507ACB" w:rsidRDefault="00B83F5F" w:rsidP="001D320F">
            <w:pPr>
              <w:spacing w:after="0" w:line="240" w:lineRule="auto"/>
              <w:jc w:val="center"/>
              <w:rPr>
                <w:b/>
                <w:sz w:val="20"/>
              </w:rPr>
            </w:pPr>
            <w:r>
              <w:rPr>
                <w:b/>
                <w:sz w:val="20"/>
              </w:rPr>
              <w:t>10</w:t>
            </w:r>
          </w:p>
        </w:tc>
      </w:tr>
      <w:tr w:rsidR="007F0B51" w:rsidRPr="00E52330" w:rsidTr="001D320F">
        <w:tc>
          <w:tcPr>
            <w:tcW w:w="7177" w:type="dxa"/>
          </w:tcPr>
          <w:p w:rsidR="007F0B51" w:rsidRPr="00EF124E" w:rsidRDefault="007F0B51" w:rsidP="001D320F">
            <w:pPr>
              <w:spacing w:after="60" w:line="240" w:lineRule="auto"/>
              <w:rPr>
                <w:b/>
                <w:sz w:val="20"/>
              </w:rPr>
            </w:pPr>
            <w:r w:rsidRPr="00EF124E">
              <w:rPr>
                <w:b/>
                <w:sz w:val="20"/>
              </w:rPr>
              <w:t>TOTAL</w:t>
            </w:r>
          </w:p>
        </w:tc>
        <w:tc>
          <w:tcPr>
            <w:tcW w:w="1338" w:type="dxa"/>
          </w:tcPr>
          <w:p w:rsidR="007F0B51" w:rsidRPr="00EF124E" w:rsidRDefault="007F0B51" w:rsidP="001D320F">
            <w:pPr>
              <w:spacing w:after="60" w:line="240" w:lineRule="auto"/>
              <w:jc w:val="center"/>
              <w:rPr>
                <w:b/>
                <w:sz w:val="20"/>
              </w:rPr>
            </w:pPr>
            <w:r w:rsidRPr="00EF124E">
              <w:rPr>
                <w:b/>
                <w:sz w:val="20"/>
              </w:rPr>
              <w:t>100</w:t>
            </w:r>
          </w:p>
        </w:tc>
      </w:tr>
    </w:tbl>
    <w:p w:rsidR="007F0B51" w:rsidRDefault="007F0B51" w:rsidP="007F0B51">
      <w:pPr>
        <w:spacing w:after="0"/>
        <w:rPr>
          <w:color w:val="3366FF"/>
        </w:rPr>
      </w:pPr>
    </w:p>
    <w:p w:rsidR="007F0B51" w:rsidRPr="00AD5C11" w:rsidRDefault="00B83F5F" w:rsidP="007F0B51">
      <w:pPr>
        <w:spacing w:after="0"/>
      </w:pPr>
      <w:r w:rsidRPr="00B83F5F">
        <w:t>I</w:t>
      </w:r>
      <w:r w:rsidR="00025D22">
        <w:t xml:space="preserve">n a </w:t>
      </w:r>
      <w:r w:rsidR="007F0B51" w:rsidRPr="00B83F5F">
        <w:t>case</w:t>
      </w:r>
      <w:r w:rsidR="00025D22">
        <w:t xml:space="preserve"> where</w:t>
      </w:r>
      <w:r w:rsidR="007F0B51" w:rsidRPr="00B83F5F">
        <w:t xml:space="preserve"> two or more top entries reach the same score</w:t>
      </w:r>
      <w:r w:rsidRPr="00B83F5F">
        <w:t xml:space="preserve">, </w:t>
      </w:r>
      <w:r>
        <w:t xml:space="preserve">the advantage will be given to the applicant that has more points in the section related to quality of investigation. </w:t>
      </w:r>
    </w:p>
    <w:p w:rsidR="007F0B51" w:rsidRDefault="007F0B51" w:rsidP="007F0B51">
      <w:pPr>
        <w:spacing w:after="0"/>
        <w:rPr>
          <w:color w:val="3366FF"/>
        </w:rPr>
      </w:pPr>
    </w:p>
    <w:p w:rsidR="007F0B51" w:rsidRPr="00D9386D" w:rsidRDefault="007F0B51" w:rsidP="007F0B51">
      <w:pPr>
        <w:rPr>
          <w:b/>
        </w:rPr>
      </w:pPr>
      <w:r w:rsidRPr="00D9386D">
        <w:rPr>
          <w:b/>
        </w:rPr>
        <w:t xml:space="preserve">8. Notification of </w:t>
      </w:r>
      <w:r>
        <w:rPr>
          <w:b/>
        </w:rPr>
        <w:t>award candidates/nominators</w:t>
      </w:r>
      <w:r w:rsidRPr="00D9386D">
        <w:rPr>
          <w:b/>
        </w:rPr>
        <w:t xml:space="preserve"> on the jury decision</w:t>
      </w:r>
    </w:p>
    <w:p w:rsidR="007F0B51" w:rsidRPr="007931E3" w:rsidRDefault="007F0B51" w:rsidP="007F0B51">
      <w:pPr>
        <w:spacing w:before="120"/>
      </w:pPr>
      <w:r w:rsidRPr="007931E3">
        <w:t xml:space="preserve">The applicants/nominators will be notified on the results of the contests by a notification letter. </w:t>
      </w:r>
    </w:p>
    <w:p w:rsidR="007F0B51" w:rsidRDefault="007F0B51" w:rsidP="007F0B51">
      <w:pPr>
        <w:rPr>
          <w:b/>
        </w:rPr>
      </w:pPr>
      <w:r>
        <w:rPr>
          <w:b/>
        </w:rPr>
        <w:t xml:space="preserve">9. </w:t>
      </w:r>
      <w:r w:rsidRPr="00E6638B">
        <w:rPr>
          <w:b/>
        </w:rPr>
        <w:t>Annexes</w:t>
      </w:r>
      <w:r>
        <w:rPr>
          <w:b/>
        </w:rPr>
        <w:t xml:space="preserve">: </w:t>
      </w:r>
    </w:p>
    <w:p w:rsidR="007F0B51" w:rsidRPr="00E6638B" w:rsidRDefault="00B83F5F" w:rsidP="007F0B51">
      <w:pPr>
        <w:pStyle w:val="ListParagraph"/>
      </w:pPr>
      <w:r>
        <w:t>Entry form</w:t>
      </w:r>
    </w:p>
    <w:p w:rsidR="007F0B51" w:rsidRDefault="007F0B51" w:rsidP="007F0B51"/>
    <w:p w:rsidR="001D320F" w:rsidRDefault="001D320F"/>
    <w:sectPr w:rsidR="001D320F" w:rsidSect="001D320F">
      <w:headerReference w:type="default" r:id="rId8"/>
      <w:footerReference w:type="even" r:id="rId9"/>
      <w:footerReference w:type="default" r:id="rId10"/>
      <w:pgSz w:w="11899" w:h="16819"/>
      <w:pgMar w:top="1797" w:right="1440" w:bottom="1797"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9D3" w:rsidRDefault="003329D3" w:rsidP="007F0B51">
      <w:pPr>
        <w:spacing w:after="0" w:line="240" w:lineRule="auto"/>
      </w:pPr>
      <w:r>
        <w:separator/>
      </w:r>
    </w:p>
  </w:endnote>
  <w:endnote w:type="continuationSeparator" w:id="0">
    <w:p w:rsidR="003329D3" w:rsidRDefault="003329D3" w:rsidP="007F0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charset w:val="00"/>
    <w:family w:val="auto"/>
    <w:pitch w:val="variable"/>
    <w:sig w:usb0="A00002AF" w:usb1="5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20F" w:rsidRDefault="001D320F" w:rsidP="001D32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320F" w:rsidRDefault="001D320F" w:rsidP="001D320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20F" w:rsidRDefault="001D320F" w:rsidP="001D32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01D4">
      <w:rPr>
        <w:rStyle w:val="PageNumber"/>
        <w:noProof/>
      </w:rPr>
      <w:t>6</w:t>
    </w:r>
    <w:r>
      <w:rPr>
        <w:rStyle w:val="PageNumber"/>
      </w:rPr>
      <w:fldChar w:fldCharType="end"/>
    </w:r>
  </w:p>
  <w:p w:rsidR="001D320F" w:rsidRDefault="001D320F" w:rsidP="007F0B51">
    <w:pPr>
      <w:spacing w:after="60"/>
      <w:rPr>
        <w:sz w:val="18"/>
      </w:rPr>
    </w:pPr>
  </w:p>
  <w:p w:rsidR="001D320F" w:rsidRPr="007F0B51" w:rsidRDefault="001D320F" w:rsidP="007F0B51">
    <w:pPr>
      <w:spacing w:after="60"/>
      <w:rPr>
        <w:sz w:val="18"/>
      </w:rPr>
    </w:pPr>
    <w:r>
      <w:rPr>
        <w:sz w:val="18"/>
      </w:rPr>
      <w:t>*</w:t>
    </w:r>
    <w:r w:rsidRPr="00B564B4">
      <w:rPr>
        <w:sz w:val="18"/>
      </w:rPr>
      <w:t>This document has been produced with the financial assistance of the European Union. The contents of this document are the sole responsibility of</w:t>
    </w:r>
    <w:r>
      <w:rPr>
        <w:sz w:val="18"/>
      </w:rPr>
      <w:t xml:space="preserve"> BIRN Hub and its project partners</w:t>
    </w:r>
    <w:r w:rsidRPr="00B564B4">
      <w:rPr>
        <w:sz w:val="18"/>
      </w:rPr>
      <w:t xml:space="preserve"> and can under no circumstances be regarded as reflecting the position of the European Union.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9D3" w:rsidRDefault="003329D3" w:rsidP="007F0B51">
      <w:pPr>
        <w:spacing w:after="0" w:line="240" w:lineRule="auto"/>
      </w:pPr>
      <w:r>
        <w:separator/>
      </w:r>
    </w:p>
  </w:footnote>
  <w:footnote w:type="continuationSeparator" w:id="0">
    <w:p w:rsidR="003329D3" w:rsidRDefault="003329D3" w:rsidP="007F0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20F" w:rsidRDefault="001D320F">
    <w:pPr>
      <w:pStyle w:val="Header"/>
    </w:pPr>
    <w:r w:rsidRPr="005673B4">
      <w:rPr>
        <w:noProof/>
        <w:lang w:val="en-US"/>
      </w:rPr>
      <w:drawing>
        <wp:anchor distT="0" distB="0" distL="114300" distR="114300" simplePos="0" relativeHeight="251658240" behindDoc="1" locked="0" layoutInCell="1" allowOverlap="1">
          <wp:simplePos x="0" y="0"/>
          <wp:positionH relativeFrom="column">
            <wp:posOffset>1866900</wp:posOffset>
          </wp:positionH>
          <wp:positionV relativeFrom="paragraph">
            <wp:posOffset>-190500</wp:posOffset>
          </wp:positionV>
          <wp:extent cx="1866900" cy="872538"/>
          <wp:effectExtent l="0" t="0" r="0" b="3810"/>
          <wp:wrapTight wrapText="bothSides">
            <wp:wrapPolygon edited="0">
              <wp:start x="0" y="0"/>
              <wp:lineTo x="0" y="21223"/>
              <wp:lineTo x="21380" y="21223"/>
              <wp:lineTo x="21380" y="0"/>
              <wp:lineTo x="0" y="0"/>
            </wp:wrapPolygon>
          </wp:wrapTight>
          <wp:docPr id="1" name="Picture 1" descr="E:\NNŠ\PROJEKTI\Aktuelni\LOT3 - Nagrada\LOGO\EU_Award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NŠ\PROJEKTI\Aktuelni\LOT3 - Nagrada\LOGO\EU_Award_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6900" cy="872538"/>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05DB3"/>
    <w:multiLevelType w:val="hybridMultilevel"/>
    <w:tmpl w:val="C374BB3A"/>
    <w:lvl w:ilvl="0" w:tplc="04090019">
      <w:start w:val="1"/>
      <w:numFmt w:val="lowerLetter"/>
      <w:lvlText w:val="%1."/>
      <w:lvlJc w:val="left"/>
      <w:pPr>
        <w:ind w:left="144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31717F5D"/>
    <w:multiLevelType w:val="hybridMultilevel"/>
    <w:tmpl w:val="C40A4DF2"/>
    <w:lvl w:ilvl="0" w:tplc="57A81AC0">
      <w:start w:val="1"/>
      <w:numFmt w:val="decimal"/>
      <w:lvlText w:val="%1)"/>
      <w:lvlJc w:val="left"/>
      <w:pPr>
        <w:ind w:left="644"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164234"/>
    <w:multiLevelType w:val="multilevel"/>
    <w:tmpl w:val="FC9235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43123ABA"/>
    <w:multiLevelType w:val="hybridMultilevel"/>
    <w:tmpl w:val="8D2C6E90"/>
    <w:lvl w:ilvl="0" w:tplc="BAE457C2">
      <w:start w:val="1"/>
      <w:numFmt w:val="bullet"/>
      <w:lvlText w:val="-"/>
      <w:lvlJc w:val="left"/>
      <w:pPr>
        <w:tabs>
          <w:tab w:val="num" w:pos="454"/>
        </w:tabs>
        <w:ind w:left="454" w:hanging="17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5791E"/>
    <w:multiLevelType w:val="hybridMultilevel"/>
    <w:tmpl w:val="E820AC4E"/>
    <w:lvl w:ilvl="0" w:tplc="C1463ADE">
      <w:start w:val="1"/>
      <w:numFmt w:val="bullet"/>
      <w:lvlText w:val="-"/>
      <w:lvlJc w:val="left"/>
      <w:pPr>
        <w:ind w:left="720" w:hanging="360"/>
      </w:pPr>
      <w:rPr>
        <w:rFonts w:ascii="Calibri Light" w:eastAsia="Cambria"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C32E5A"/>
    <w:multiLevelType w:val="hybridMultilevel"/>
    <w:tmpl w:val="F9C82192"/>
    <w:lvl w:ilvl="0" w:tplc="3760D0B2">
      <w:numFmt w:val="bullet"/>
      <w:lvlText w:val="-"/>
      <w:lvlJc w:val="left"/>
      <w:pPr>
        <w:ind w:left="720" w:hanging="360"/>
      </w:pPr>
      <w:rPr>
        <w:rFonts w:ascii="Cambria" w:eastAsia="Cambria" w:hAnsi="Cambria" w:cs="Times New Roman" w:hint="default"/>
      </w:rPr>
    </w:lvl>
    <w:lvl w:ilvl="1" w:tplc="04240003" w:tentative="1">
      <w:start w:val="1"/>
      <w:numFmt w:val="bullet"/>
      <w:lvlText w:val="o"/>
      <w:lvlJc w:val="left"/>
      <w:pPr>
        <w:ind w:left="1440" w:hanging="360"/>
      </w:pPr>
      <w:rPr>
        <w:rFonts w:ascii="Courier New" w:hAnsi="Courier New"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Aria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Arial"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F8E207A"/>
    <w:multiLevelType w:val="hybridMultilevel"/>
    <w:tmpl w:val="E3A25CF6"/>
    <w:lvl w:ilvl="0" w:tplc="DB803918">
      <w:start w:val="1"/>
      <w:numFmt w:val="bullet"/>
      <w:pStyle w:val="ListParagraph"/>
      <w:lvlText w:val="-"/>
      <w:lvlJc w:val="left"/>
      <w:pPr>
        <w:tabs>
          <w:tab w:val="num" w:pos="454"/>
        </w:tabs>
        <w:ind w:left="454" w:hanging="170"/>
      </w:pPr>
      <w:rPr>
        <w:rFonts w:ascii="Courier New" w:hAnsi="Courier New"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6140A7"/>
    <w:multiLevelType w:val="hybridMultilevel"/>
    <w:tmpl w:val="5B761214"/>
    <w:lvl w:ilvl="0" w:tplc="4EB25C32">
      <w:start w:val="1"/>
      <w:numFmt w:val="decimal"/>
      <w:lvlText w:val="%1."/>
      <w:lvlJc w:val="left"/>
      <w:pPr>
        <w:ind w:left="814" w:hanging="360"/>
      </w:pPr>
      <w:rPr>
        <w:rFonts w:hint="default"/>
        <w:b/>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num w:numId="1">
    <w:abstractNumId w:val="3"/>
  </w:num>
  <w:num w:numId="2">
    <w:abstractNumId w:val="6"/>
  </w:num>
  <w:num w:numId="3">
    <w:abstractNumId w:val="5"/>
  </w:num>
  <w:num w:numId="4">
    <w:abstractNumId w:val="2"/>
  </w:num>
  <w:num w:numId="5">
    <w:abstractNumId w:val="1"/>
  </w:num>
  <w:num w:numId="6">
    <w:abstractNumId w:val="7"/>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2MDExNTK1NLGwNDFQ0lEKTi0uzszPAykwqgUAK7IXmywAAAA="/>
  </w:docVars>
  <w:rsids>
    <w:rsidRoot w:val="007F0B51"/>
    <w:rsid w:val="00025D22"/>
    <w:rsid w:val="00110A07"/>
    <w:rsid w:val="00115E28"/>
    <w:rsid w:val="00124126"/>
    <w:rsid w:val="001602A9"/>
    <w:rsid w:val="001D320F"/>
    <w:rsid w:val="003329D3"/>
    <w:rsid w:val="00384C9E"/>
    <w:rsid w:val="004E1584"/>
    <w:rsid w:val="005538A3"/>
    <w:rsid w:val="00561A07"/>
    <w:rsid w:val="00561BF0"/>
    <w:rsid w:val="00576BA6"/>
    <w:rsid w:val="005A0633"/>
    <w:rsid w:val="0072329A"/>
    <w:rsid w:val="00723F7D"/>
    <w:rsid w:val="007649FE"/>
    <w:rsid w:val="007B01DE"/>
    <w:rsid w:val="007C618C"/>
    <w:rsid w:val="007F0B51"/>
    <w:rsid w:val="008119C3"/>
    <w:rsid w:val="008C6BA7"/>
    <w:rsid w:val="009D01D4"/>
    <w:rsid w:val="00B83F5F"/>
    <w:rsid w:val="00D21DCA"/>
    <w:rsid w:val="00D92B17"/>
    <w:rsid w:val="00E15A04"/>
    <w:rsid w:val="00E33D6C"/>
    <w:rsid w:val="00EC13D8"/>
    <w:rsid w:val="00ED0FEE"/>
    <w:rsid w:val="00EE3E82"/>
    <w:rsid w:val="00F10B0B"/>
    <w:rsid w:val="00F46FC4"/>
    <w:rsid w:val="00FF5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70554-FBA3-4C13-9C6A-5EAD7EB9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51"/>
    <w:pPr>
      <w:spacing w:after="200" w:line="276" w:lineRule="auto"/>
      <w:jc w:val="both"/>
    </w:pPr>
    <w:rPr>
      <w:rFonts w:asciiTheme="majorHAnsi" w:eastAsia="Cambria" w:hAnsiTheme="majorHAns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1,Table Grid green gray"/>
    <w:basedOn w:val="TableNormal"/>
    <w:rsid w:val="007F0B51"/>
    <w:pPr>
      <w:spacing w:after="0" w:line="240" w:lineRule="auto"/>
    </w:pPr>
    <w:rPr>
      <w:rFonts w:ascii="Myriad Pro" w:eastAsia="Times New Roman" w:hAnsi="Myriad Pro" w:cs="Times New Roman"/>
      <w:sz w:val="18"/>
      <w:szCs w:val="20"/>
      <w:lang w:eastAsia="ja-JP"/>
    </w:rPr>
    <w:tblPr/>
    <w:tcPr>
      <w:shd w:val="clear" w:color="auto" w:fill="auto"/>
    </w:tcPr>
    <w:tblStylePr w:type="firstRow">
      <w:rPr>
        <w:b/>
        <w:bCs/>
        <w:color w:val="auto"/>
      </w:rPr>
      <w:tblPr/>
      <w:tcPr>
        <w:shd w:val="clear" w:color="auto" w:fill="005D9D"/>
      </w:tcPr>
    </w:tblStylePr>
    <w:tblStylePr w:type="lastRow">
      <w:rPr>
        <w:b/>
        <w:color w:val="auto"/>
      </w:rPr>
      <w:tblPr/>
      <w:tcPr>
        <w:tcBorders>
          <w:top w:val="single" w:sz="6" w:space="0" w:color="008000"/>
          <w:tl2br w:val="none" w:sz="0" w:space="0" w:color="auto"/>
          <w:tr2bl w:val="none" w:sz="0" w:space="0" w:color="auto"/>
        </w:tcBorders>
      </w:tcPr>
    </w:tblStylePr>
  </w:style>
  <w:style w:type="character" w:styleId="FootnoteReference">
    <w:name w:val="footnote reference"/>
    <w:aliases w:val="BVI fnr,16 Point,Superscript 6 Point,nota pié di pagina,Times 10 Point,Exposant 3 Point,Footnote symbol,Footnote reference number,EN Footnote Reference,note TESI,Footnote Reference Char Char Char,ftref,Ref"/>
    <w:basedOn w:val="DefaultParagraphFont"/>
    <w:autoRedefine/>
    <w:uiPriority w:val="99"/>
    <w:rsid w:val="007F0B51"/>
    <w:rPr>
      <w:rFonts w:asciiTheme="majorHAnsi" w:hAnsiTheme="majorHAnsi"/>
      <w:position w:val="6"/>
      <w:sz w:val="16"/>
      <w:szCs w:val="18"/>
    </w:rPr>
  </w:style>
  <w:style w:type="character" w:styleId="Hyperlink">
    <w:name w:val="Hyperlink"/>
    <w:uiPriority w:val="99"/>
    <w:rsid w:val="007F0B51"/>
    <w:rPr>
      <w:color w:val="0000FF"/>
      <w:u w:val="single"/>
    </w:rPr>
  </w:style>
  <w:style w:type="paragraph" w:styleId="ListParagraph">
    <w:name w:val="List Paragraph"/>
    <w:basedOn w:val="Normal"/>
    <w:uiPriority w:val="34"/>
    <w:qFormat/>
    <w:rsid w:val="007F0B51"/>
    <w:pPr>
      <w:numPr>
        <w:numId w:val="2"/>
      </w:numPr>
      <w:contextualSpacing/>
    </w:pPr>
  </w:style>
  <w:style w:type="paragraph" w:styleId="Footer">
    <w:name w:val="footer"/>
    <w:basedOn w:val="Normal"/>
    <w:link w:val="FooterChar"/>
    <w:uiPriority w:val="99"/>
    <w:unhideWhenUsed/>
    <w:rsid w:val="007F0B51"/>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B51"/>
    <w:rPr>
      <w:rFonts w:asciiTheme="majorHAnsi" w:eastAsia="Cambria" w:hAnsiTheme="majorHAnsi" w:cs="Times New Roman"/>
      <w:lang w:val="en-GB"/>
    </w:rPr>
  </w:style>
  <w:style w:type="character" w:styleId="PageNumber">
    <w:name w:val="page number"/>
    <w:basedOn w:val="DefaultParagraphFont"/>
    <w:uiPriority w:val="99"/>
    <w:semiHidden/>
    <w:unhideWhenUsed/>
    <w:rsid w:val="007F0B51"/>
  </w:style>
  <w:style w:type="paragraph" w:styleId="FootnoteText">
    <w:name w:val="footnote text"/>
    <w:basedOn w:val="Normal"/>
    <w:link w:val="FootnoteTextChar"/>
    <w:uiPriority w:val="99"/>
    <w:unhideWhenUsed/>
    <w:rsid w:val="007F0B51"/>
    <w:pPr>
      <w:spacing w:after="0" w:line="240" w:lineRule="auto"/>
    </w:pPr>
    <w:rPr>
      <w:sz w:val="24"/>
      <w:szCs w:val="24"/>
    </w:rPr>
  </w:style>
  <w:style w:type="character" w:customStyle="1" w:styleId="FootnoteTextChar">
    <w:name w:val="Footnote Text Char"/>
    <w:basedOn w:val="DefaultParagraphFont"/>
    <w:link w:val="FootnoteText"/>
    <w:uiPriority w:val="99"/>
    <w:rsid w:val="007F0B51"/>
    <w:rPr>
      <w:rFonts w:asciiTheme="majorHAnsi" w:eastAsia="Cambria" w:hAnsiTheme="majorHAnsi" w:cs="Times New Roman"/>
      <w:sz w:val="24"/>
      <w:szCs w:val="24"/>
      <w:lang w:val="en-GB"/>
    </w:rPr>
  </w:style>
  <w:style w:type="character" w:customStyle="1" w:styleId="hps">
    <w:name w:val="hps"/>
    <w:basedOn w:val="DefaultParagraphFont"/>
    <w:rsid w:val="007F0B51"/>
  </w:style>
  <w:style w:type="paragraph" w:styleId="Header">
    <w:name w:val="header"/>
    <w:basedOn w:val="Normal"/>
    <w:link w:val="HeaderChar"/>
    <w:uiPriority w:val="99"/>
    <w:unhideWhenUsed/>
    <w:rsid w:val="007F0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B51"/>
    <w:rPr>
      <w:rFonts w:asciiTheme="majorHAnsi" w:eastAsia="Cambria" w:hAnsiTheme="majorHAnsi" w:cs="Times New Roman"/>
      <w:lang w:val="en-GB"/>
    </w:rPr>
  </w:style>
  <w:style w:type="character" w:styleId="FollowedHyperlink">
    <w:name w:val="FollowedHyperlink"/>
    <w:basedOn w:val="DefaultParagraphFont"/>
    <w:uiPriority w:val="99"/>
    <w:semiHidden/>
    <w:unhideWhenUsed/>
    <w:rsid w:val="001D32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c.europa.eu/europeaid/prag/document.do?nodeNumber=2.3.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Jovancic</dc:creator>
  <cp:keywords/>
  <dc:description/>
  <cp:lastModifiedBy>Jovana Sesterikov</cp:lastModifiedBy>
  <cp:revision>3</cp:revision>
  <dcterms:created xsi:type="dcterms:W3CDTF">2019-06-07T08:47:00Z</dcterms:created>
  <dcterms:modified xsi:type="dcterms:W3CDTF">2019-06-17T13:36:00Z</dcterms:modified>
</cp:coreProperties>
</file>